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0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0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по выпуску сыра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Camamber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Нарочанском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 xml:space="preserve">надлежащей производственной практики (GMP) СООО «Научно-производственный центр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БелАгроГен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г.п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 Смиловичи иностранным унитарным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Реб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интерпласт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1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1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Избино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Вилейского района иностранным частным предприятием «Бел Пека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Пэйнт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«Автогидроусилитель»;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Белмедстекло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Дарида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Camembert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</w:t>
      </w:r>
      <w:proofErr w:type="spellStart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ООО «Научно-производственный центр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БелАгроГен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г.п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. Смиловичи» иностранным унитарным предприятием «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Реб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</w:t>
      </w:r>
      <w:proofErr w:type="spellStart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райгорисполкомах</w:t>
      </w:r>
      <w:proofErr w:type="spellEnd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2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расчетно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3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3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1.3. Объем ввода в эксплуатацию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электродомов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>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Юзуфово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Свержень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Любковщина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Столбцовского района», «Реконструкция моста через канал на км 26,060 а/д Н-9452 Селище – Октябрь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Салогощ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Солигорского района», «Автомобильная дорога Н-24 67 Подъезд к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Ашнарово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от а/д Н-8964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Паперня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Лесковка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», «Реконструкция моста через мелиоративный канал на км 7,532 автомобильной дороги Н-8670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Докудово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Жаберичи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Ратынца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на км 4,629 а/д Н-8256 Раков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Курдуны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Боровиковщина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2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производство ветеринарных препаратов, производство </w:t>
      </w:r>
      <w:proofErr w:type="spellStart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автокомпонетов</w:t>
      </w:r>
      <w:proofErr w:type="spellEnd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имеют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Морочь Клецкого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Острошицы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Логойского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Снов Несвижского района и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C7B1" w14:textId="77777777" w:rsidR="0037107E" w:rsidRDefault="0037107E">
      <w:pPr>
        <w:spacing w:after="0" w:line="240" w:lineRule="auto"/>
      </w:pPr>
      <w:r>
        <w:separator/>
      </w:r>
    </w:p>
  </w:endnote>
  <w:endnote w:type="continuationSeparator" w:id="0">
    <w:p w14:paraId="5D21866E" w14:textId="77777777" w:rsidR="0037107E" w:rsidRDefault="0037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E37F" w14:textId="77777777" w:rsidR="0037107E" w:rsidRDefault="0037107E">
      <w:pPr>
        <w:spacing w:after="0" w:line="240" w:lineRule="auto"/>
      </w:pPr>
      <w:r>
        <w:separator/>
      </w:r>
    </w:p>
  </w:footnote>
  <w:footnote w:type="continuationSeparator" w:id="0">
    <w:p w14:paraId="6253D6CA" w14:textId="77777777" w:rsidR="0037107E" w:rsidRDefault="0037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705C1F0C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00783">
          <w:rPr>
            <w:rFonts w:ascii="Times New Roman" w:hAnsi="Times New Roman" w:cs="Times New Roman"/>
            <w:sz w:val="28"/>
            <w:szCs w:val="28"/>
          </w:rPr>
          <w:t>2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718211">
    <w:abstractNumId w:val="2"/>
  </w:num>
  <w:num w:numId="2" w16cid:durableId="2115858634">
    <w:abstractNumId w:val="0"/>
  </w:num>
  <w:num w:numId="3" w16cid:durableId="6768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21799"/>
    <w:rsid w:val="00075A02"/>
    <w:rsid w:val="000A6068"/>
    <w:rsid w:val="000B0C3F"/>
    <w:rsid w:val="000B202B"/>
    <w:rsid w:val="000E4643"/>
    <w:rsid w:val="000F3556"/>
    <w:rsid w:val="0010351D"/>
    <w:rsid w:val="0011146E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107E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811C8"/>
    <w:rsid w:val="00681215"/>
    <w:rsid w:val="006872D7"/>
    <w:rsid w:val="006A37E7"/>
    <w:rsid w:val="006C5AE0"/>
    <w:rsid w:val="006C7D46"/>
    <w:rsid w:val="006E01A5"/>
    <w:rsid w:val="006E1CB4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37502"/>
    <w:rsid w:val="00850F28"/>
    <w:rsid w:val="00854282"/>
    <w:rsid w:val="00860185"/>
    <w:rsid w:val="008B1CE1"/>
    <w:rsid w:val="008B4C50"/>
    <w:rsid w:val="008D0FF4"/>
    <w:rsid w:val="008F25D3"/>
    <w:rsid w:val="00911F7B"/>
    <w:rsid w:val="00936F22"/>
    <w:rsid w:val="009427E2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C76F0"/>
    <w:rsid w:val="00D03107"/>
    <w:rsid w:val="00D124EA"/>
    <w:rsid w:val="00D21304"/>
    <w:rsid w:val="00D25A3D"/>
    <w:rsid w:val="00D350B8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4ED7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9AA6-F770-4E98-8F99-6EF187F8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Кручковская Кира</cp:lastModifiedBy>
  <cp:revision>2</cp:revision>
  <dcterms:created xsi:type="dcterms:W3CDTF">2026-03-17T11:53:00Z</dcterms:created>
  <dcterms:modified xsi:type="dcterms:W3CDTF">2026-03-17T11:53:00Z</dcterms:modified>
</cp:coreProperties>
</file>