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97" w:rsidRDefault="00DD5797" w:rsidP="00DD5797">
      <w:pPr>
        <w:pStyle w:val="ConsPlusTitle"/>
        <w:jc w:val="center"/>
      </w:pPr>
      <w:r>
        <w:t>РЕШЕНИЕ МИНСКОГО ОБЛАСТНОГО ИСПОЛНИТЕЛЬНОГО КОМИТЕТА</w:t>
      </w:r>
    </w:p>
    <w:p w:rsidR="00DD5797" w:rsidRDefault="00DD5797" w:rsidP="00DD5797">
      <w:pPr>
        <w:pStyle w:val="ConsPlusTitle"/>
        <w:jc w:val="center"/>
      </w:pPr>
      <w:r>
        <w:t>1 октября 2024 г. N 924</w:t>
      </w:r>
    </w:p>
    <w:p w:rsidR="00DD5797" w:rsidRDefault="00DD5797" w:rsidP="00DD5797">
      <w:pPr>
        <w:pStyle w:val="ConsPlusTitle"/>
        <w:jc w:val="center"/>
      </w:pPr>
    </w:p>
    <w:p w:rsidR="00DD5797" w:rsidRDefault="00DD5797" w:rsidP="00DD5797">
      <w:pPr>
        <w:pStyle w:val="ConsPlusTitle"/>
        <w:jc w:val="center"/>
      </w:pPr>
      <w:r>
        <w:t>О ГОСУДАРСТВЕННОЙ ФИНАНСОВОЙ ПОДДЕРЖКЕ СУБЪЕКТОВ МАЛОГО И СРЕДНЕГО ПРЕДПРИНИМАТЕЛЬСТВА МИНСКОЙ ОБЛАСТИ</w:t>
      </w:r>
    </w:p>
    <w:p w:rsidR="00DD5797" w:rsidRDefault="00DD5797" w:rsidP="00DD5797">
      <w:pPr>
        <w:pStyle w:val="ConsPlusNormal"/>
      </w:pPr>
    </w:p>
    <w:p w:rsidR="00DD5797" w:rsidRDefault="00DD5797" w:rsidP="00DD5797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5" w:tooltip="Постановление Совета Министров Республики Беларусь от 28.06.2024 N 459 &quot;О мерах государственной поддержки малого и среднего предпринимательства&quot; {КонсультантПлюс}">
        <w:r>
          <w:rPr>
            <w:color w:val="0000FF"/>
          </w:rPr>
          <w:t>части первой пункта 3</w:t>
        </w:r>
      </w:hyperlink>
      <w:r>
        <w:t xml:space="preserve">, </w:t>
      </w:r>
      <w:hyperlink r:id="rId6" w:tooltip="Постановление Совета Министров Республики Беларусь от 28.06.2024 N 459 &quot;О мерах государственной поддержки малого и среднего предпринимательства&quot; {КонсультантПлюс}">
        <w:r>
          <w:rPr>
            <w:color w:val="0000FF"/>
          </w:rPr>
          <w:t>абзаца третьего части первой пункта 6</w:t>
        </w:r>
      </w:hyperlink>
      <w:r>
        <w:t xml:space="preserve"> Положения о порядке и условиях (критериях) предоставления государственной финансовой поддержки субъектам малого и среднего предпринимательства, субъектам инфраструктуры поддержки малого и среднего предпринимательства, утвержденного постановлением Совета Министров Республики Беларусь от 28 июня 2024 г. N 459, Минский областной исполнительный комитет РЕШИЛ:</w:t>
      </w:r>
      <w:proofErr w:type="gramEnd"/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1. Определить, что государственная финансовая поддержка за счет средств областного бюджета, предусмотренных в государственных программах в сфере государственной поддержки малого и среднего предпринимательства, предоставляется субъектам малого и среднего предпринимательства Минской области: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1.1. при реализации ими инвестиционных проектов, </w:t>
      </w:r>
      <w:proofErr w:type="gramStart"/>
      <w:r>
        <w:t>бизнес-проектов</w:t>
      </w:r>
      <w:proofErr w:type="gramEnd"/>
      <w:r>
        <w:t xml:space="preserve"> по следующим направлениям: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создание, развитие и расширение производства продукции (товаров, выполнения работ);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организация, развитие производства, реализация </w:t>
      </w:r>
      <w:proofErr w:type="spellStart"/>
      <w:r>
        <w:t>экспортоориентированной</w:t>
      </w:r>
      <w:proofErr w:type="spellEnd"/>
      <w:r>
        <w:t>, импортозамещающей продукции;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производство продукции, направленной на </w:t>
      </w:r>
      <w:proofErr w:type="spellStart"/>
      <w:r>
        <w:t>энерго</w:t>
      </w:r>
      <w:proofErr w:type="spellEnd"/>
      <w:r>
        <w:t>- и ресурсосбережение;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внедрение новых технологий;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развитие розничной торговли и услуг в сельской местности &lt;*&gt;;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&lt;*&gt; Для целей настоящего решения под сельской местностью понимаются территории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 и городов районного подчинения, являющихся территориальными единицами, иных населенных пунктов, не являющихся административно-территориальными единицами, входящие вместе с другими территориями в пространственные пределы сельсоветов.</w:t>
      </w:r>
    </w:p>
    <w:p w:rsidR="00DD5797" w:rsidRDefault="00DD5797" w:rsidP="00DD5797">
      <w:pPr>
        <w:pStyle w:val="ConsPlusNormal"/>
        <w:ind w:firstLine="540"/>
        <w:jc w:val="both"/>
      </w:pPr>
    </w:p>
    <w:p w:rsidR="00DD5797" w:rsidRDefault="00DD5797" w:rsidP="00DD5797">
      <w:pPr>
        <w:pStyle w:val="ConsPlusNormal"/>
        <w:ind w:firstLine="540"/>
        <w:jc w:val="both"/>
      </w:pPr>
      <w:proofErr w:type="gramStart"/>
      <w:r>
        <w:t>1.2. в целях возведения, реконструкции, модернизации, технической модернизации, ремонта капитальных строений (зданий, сооружений), изолированных помещений, проведения ремонтно-реставрационных работ и монтажа всех видов оборудования, приобретения капитальных строений (зданий, сооружений), изолированных помещений, приобретения машин и оборудования, транспортных средств, специальных устройств и приспособлений, инструментов, приобретения комплектующих изделий, сырья, материалов, программного обеспечения (его обновления), товаров (работ, услуг) для собственного производства продукции (товаров, выполнения работ</w:t>
      </w:r>
      <w:proofErr w:type="gramEnd"/>
      <w:r>
        <w:t>, оказания услуг).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2. Утвердить </w:t>
      </w:r>
      <w:hyperlink w:anchor="P44" w:tooltip="ИНСТРУКЦИЯ">
        <w:r>
          <w:rPr>
            <w:color w:val="0000FF"/>
          </w:rPr>
          <w:t>Инструкцию</w:t>
        </w:r>
      </w:hyperlink>
      <w:r>
        <w:t xml:space="preserve"> о порядке проведения конкурсного отбора инвестиционных проектов, </w:t>
      </w:r>
      <w:proofErr w:type="gramStart"/>
      <w:r>
        <w:t>бизнес-проектов</w:t>
      </w:r>
      <w:proofErr w:type="gramEnd"/>
      <w:r>
        <w:t xml:space="preserve"> субъектов малого и среднего предпринимательства (прилагается).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hyperlink r:id="rId7" w:tooltip="Решение Минского областного исполнительного комитета от 10.07.2009 N 679 (ред. от 03.08.2021) &quot;Об утверждении Инструкции о порядке проведения конкурсов инвестиционных проектов субъектов малого предпринимательства Минской области&quot; ------------ Утратил силу или ">
        <w:proofErr w:type="gramStart"/>
        <w:r>
          <w:rPr>
            <w:color w:val="0000FF"/>
          </w:rPr>
          <w:t>решение</w:t>
        </w:r>
      </w:hyperlink>
      <w:r>
        <w:t xml:space="preserve"> Минского областного исполнительного комитета от 10 июля 2009 г. N 679 "Об утверждении Инструкции о порядке проведения конкурсов инвестиционных проектов субъектов малого предпринимательства Минской области";</w:t>
      </w:r>
      <w:proofErr w:type="gramEnd"/>
    </w:p>
    <w:p w:rsidR="00DD5797" w:rsidRDefault="00DD5797" w:rsidP="00DD5797">
      <w:pPr>
        <w:pStyle w:val="ConsPlusNormal"/>
        <w:spacing w:before="200"/>
        <w:ind w:firstLine="540"/>
        <w:jc w:val="both"/>
      </w:pPr>
      <w:hyperlink r:id="rId8" w:tooltip="Решение Минского областного исполнительного комитета от 29.07.2011 N 1014 &quot;О внесении дополнений и изменений в решение Минского областного исполнительного комитета от 10 июля 2009 г. N 679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Минского областного исполнительного комитета от 29 июля 2011 г. N 1014 "О внесении дополнений и изменений в решение Минского областного исполнительного комитета от 10 июля 2009 г. N 679";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hyperlink r:id="rId9" w:tooltip="Решение Минского областного исполнительного комитета от 03.01.2014 N 1 &quot;О внесении изменения в решение Минского областного исполнительного комитета от 10 июля 2009 г. N 679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Минского областного исполнительного комитета от 3 января 2014 г. N 1 "О внесении изменения в решение Минского областного исполнительного комитета от 10 июля 2009 г. </w:t>
      </w:r>
      <w:r>
        <w:lastRenderedPageBreak/>
        <w:t>N 679";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hyperlink r:id="rId10" w:tooltip="Решение Минского областного исполнительного комитета от 15.05.2014 N 395 &quot;О внесении изменения и дополнения в решение Минского областного исполнительного комитета от 10 июля 2009 г. N 679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Минского областного исполнительного комитета от 15 мая 2014 г. N 395 "О внесении изменения и дополнения в решение Минского областного исполнительного комитета от 10 июля 2009 г. N 679";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hyperlink r:id="rId11" w:tooltip="Решение Минского областного исполнительного комитета от 30.10.2017 N 928 &quot;О внесении изменений и дополнения в решение Минского областного исполнительного комитета от 10 июля 2009 г. N 679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Минского областного исполнительного комитета от 30 октября 2017 г. N 928 "О внесении изменений и дополнения в решение Минского областного исполнительного комитета от 10 июля 2009 г. N 679";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hyperlink r:id="rId12" w:tooltip="Решение Минского областного исполнительного комитета от 03.08.2021 N 644 &quot;Об изменении решения Минского областного исполнительного комитета от 10 июля 2009 г. N 679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Минского областного исполнительного комитета от 3 августа 2021 г. N 644 "Об изменении решения Минского областного исполнительного комитета от 10 июля 2009 г. N 679".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4. Настоящее решение вступает в силу после его официального опубликования.</w:t>
      </w:r>
    </w:p>
    <w:p w:rsidR="00DD5797" w:rsidRDefault="00DD5797" w:rsidP="00DD5797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6"/>
        <w:gridCol w:w="4659"/>
      </w:tblGrid>
      <w:tr w:rsidR="00DD5797" w:rsidTr="007E777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D5797" w:rsidRDefault="00DD5797" w:rsidP="007E777D">
            <w:pPr>
              <w:pStyle w:val="ConsPlusNormal"/>
            </w:pPr>
            <w:r>
              <w:t>Председатель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D5797" w:rsidRDefault="00DD5797" w:rsidP="007E777D">
            <w:pPr>
              <w:pStyle w:val="ConsPlusNormal"/>
              <w:jc w:val="right"/>
            </w:pPr>
            <w:proofErr w:type="spellStart"/>
            <w:r>
              <w:t>А.Г.Турчин</w:t>
            </w:r>
            <w:proofErr w:type="spellEnd"/>
          </w:p>
        </w:tc>
      </w:tr>
    </w:tbl>
    <w:p w:rsidR="00DD5797" w:rsidRDefault="00DD5797" w:rsidP="00DD5797">
      <w:pPr>
        <w:pStyle w:val="ConsPlusNormal"/>
        <w:jc w:val="both"/>
      </w:pPr>
    </w:p>
    <w:p w:rsidR="00DD5797" w:rsidRDefault="00DD5797" w:rsidP="00DD5797">
      <w:pPr>
        <w:pStyle w:val="ConsPlusNormal"/>
        <w:jc w:val="both"/>
      </w:pPr>
    </w:p>
    <w:p w:rsidR="00DD5797" w:rsidRDefault="00DD5797" w:rsidP="00DD5797">
      <w:pPr>
        <w:pStyle w:val="ConsPlusNormal"/>
        <w:jc w:val="both"/>
      </w:pPr>
    </w:p>
    <w:p w:rsidR="00DD5797" w:rsidRDefault="00DD5797" w:rsidP="00DD5797">
      <w:pPr>
        <w:pStyle w:val="ConsPlusNormal"/>
        <w:jc w:val="both"/>
      </w:pPr>
    </w:p>
    <w:p w:rsidR="00DD5797" w:rsidRDefault="00DD5797" w:rsidP="00DD5797">
      <w:pPr>
        <w:pStyle w:val="ConsPlusNormal"/>
        <w:jc w:val="both"/>
      </w:pPr>
    </w:p>
    <w:p w:rsidR="00DD5797" w:rsidRDefault="00DD5797" w:rsidP="00DD5797">
      <w:pPr>
        <w:pStyle w:val="ConsPlusNonformat"/>
        <w:jc w:val="both"/>
      </w:pPr>
      <w:r>
        <w:t xml:space="preserve">                                                   УТВЕРЖДЕНО</w:t>
      </w:r>
    </w:p>
    <w:p w:rsidR="00DD5797" w:rsidRDefault="00DD5797" w:rsidP="00DD5797">
      <w:pPr>
        <w:pStyle w:val="ConsPlusNonformat"/>
        <w:jc w:val="both"/>
      </w:pPr>
      <w:r>
        <w:t xml:space="preserve">                                                   Решение</w:t>
      </w:r>
    </w:p>
    <w:p w:rsidR="00DD5797" w:rsidRDefault="00DD5797" w:rsidP="00DD5797">
      <w:pPr>
        <w:pStyle w:val="ConsPlusNonformat"/>
        <w:jc w:val="both"/>
      </w:pPr>
      <w:r>
        <w:t xml:space="preserve">                                                   Минского областного</w:t>
      </w:r>
    </w:p>
    <w:p w:rsidR="00DD5797" w:rsidRDefault="00DD5797" w:rsidP="00DD5797">
      <w:pPr>
        <w:pStyle w:val="ConsPlusNonformat"/>
        <w:jc w:val="both"/>
      </w:pPr>
      <w:r>
        <w:t xml:space="preserve">                                                   исполнительного комитета</w:t>
      </w:r>
    </w:p>
    <w:p w:rsidR="00DD5797" w:rsidRDefault="00DD5797" w:rsidP="00DD5797">
      <w:pPr>
        <w:pStyle w:val="ConsPlusNonformat"/>
        <w:jc w:val="both"/>
      </w:pPr>
      <w:r>
        <w:t xml:space="preserve">                                                   01.10.2024 N 924</w:t>
      </w:r>
    </w:p>
    <w:p w:rsidR="00DD5797" w:rsidRDefault="00DD5797" w:rsidP="00DD5797">
      <w:pPr>
        <w:pStyle w:val="ConsPlusNormal"/>
      </w:pPr>
    </w:p>
    <w:p w:rsidR="00DD5797" w:rsidRDefault="00DD5797" w:rsidP="00DD5797">
      <w:pPr>
        <w:pStyle w:val="ConsPlusTitle"/>
        <w:jc w:val="center"/>
      </w:pPr>
      <w:bookmarkStart w:id="0" w:name="P44"/>
      <w:bookmarkEnd w:id="0"/>
      <w:r>
        <w:t>ИНСТРУКЦИЯ</w:t>
      </w:r>
    </w:p>
    <w:p w:rsidR="00DD5797" w:rsidRDefault="00DD5797" w:rsidP="00DD5797">
      <w:pPr>
        <w:pStyle w:val="ConsPlusTitle"/>
        <w:jc w:val="center"/>
      </w:pPr>
      <w:r>
        <w:t xml:space="preserve">О ПОРЯДКЕ ПРОВЕДЕНИЯ КОНКУРСНОГО ОТБОРА ИНВЕСТИЦИОННЫХ ПРОЕКТОВ, </w:t>
      </w:r>
      <w:proofErr w:type="gramStart"/>
      <w:r>
        <w:t>БИЗНЕС-ПРОЕКТОВ</w:t>
      </w:r>
      <w:proofErr w:type="gramEnd"/>
      <w:r>
        <w:t xml:space="preserve"> СУБЪЕКТОВ МАЛОГО И СРЕДНЕГО ПРЕДПРИНИМАТЕЛЬСТВА</w:t>
      </w:r>
    </w:p>
    <w:p w:rsidR="00DD5797" w:rsidRDefault="00DD5797" w:rsidP="00DD5797">
      <w:pPr>
        <w:pStyle w:val="ConsPlusNormal"/>
      </w:pPr>
    </w:p>
    <w:p w:rsidR="00DD5797" w:rsidRDefault="00DD5797" w:rsidP="00DD5797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Настоящая Инструкция определяет порядок проведения конкурсного отбора инвестиционных проектов, бизнес-проектов (далее - конкурсный отбор) субъектов малого и среднего предпринимательства, зарегистрированных и осуществляющих деятельность на территории Минской области (далее - претенденты), для оказания им государственной финансовой поддержки за счет средств областного бюджета, предусмотренных в государственных программах в сфере государственной поддержки малого и среднего предпринимательства (далее - государственная финансовая поддержка).</w:t>
      </w:r>
      <w:proofErr w:type="gramEnd"/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2. Проведение конкурсного отбора осуществляет Минский областной исполнительный комитет (далее - облисполком) в соответствии с </w:t>
      </w:r>
      <w:hyperlink r:id="rId13" w:tooltip="Постановление Совета Министров Республики Беларусь от 28.06.2024 N 459 &quot;О мерах государственной поддержки малого и среднего предпринимательства&quot; {КонсультантПлюс}">
        <w:r>
          <w:rPr>
            <w:color w:val="0000FF"/>
          </w:rPr>
          <w:t>Положением</w:t>
        </w:r>
      </w:hyperlink>
      <w:r>
        <w:t xml:space="preserve"> о порядке и условиях (критериях) предоставления государственной финансовой поддержки субъектам малого и среднего предпринимательства, субъектам инфраструктуры поддержки малого и среднего предпринимательства (далее - Положение) и настоящей Инструкцией.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3. Конкурсный отбор инвестиционных проектов, </w:t>
      </w:r>
      <w:proofErr w:type="gramStart"/>
      <w:r>
        <w:t>бизнес-проектов</w:t>
      </w:r>
      <w:proofErr w:type="gramEnd"/>
      <w:r>
        <w:t xml:space="preserve"> (далее - проекты) проводится среди претендентов на следующие виды государственной финансовой поддержки: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предоставление финансовых средств на безвозвратной безвозмездной основе;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предоставление субсидий на возмещение части процентов за пользование банковскими кредитами;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предоставление субсидий на возмещение части вознаграждения (комиссии) по банковским гарантиям и аккредитивам;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предоставление субсидий на возмещение части расходов на выплату лизинговых платежей по договорам финансовой аренды (лизинга) в части оплаты суммы вознаграждения (дохода) лизингодателя, а также сумм, возмещающих инвестиционные расходы лизингодателя, за исключением включенных в стоимость предмета лизинга.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4. Комитет экономики облисполкома организует конкурсный отбор и обеспечивает: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proofErr w:type="gramStart"/>
      <w:r>
        <w:t xml:space="preserve">подготовку информации о проведении конкурсного отбора с указанием сроков и места его </w:t>
      </w:r>
      <w:r>
        <w:lastRenderedPageBreak/>
        <w:t>проведения, бюджетных средствах, которые могут быть направлены по итогам конкурсного отбора на оказание государственной финансовой поддержки претендентам (далее - бюджетные средства);</w:t>
      </w:r>
      <w:proofErr w:type="gramEnd"/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формирование состава (председатель, заместитель председателя, секретарь и иные участники) и определение порядка работы конкурсной комиссии для проведения конкурсного отбора;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сбор заявок на участие в конкурсном отборе;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подготовку проекта решения облисполкома о предоставлении государственной финансовой поддержки или об отказе в ее предоставлении;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публикацию </w:t>
      </w:r>
      <w:proofErr w:type="gramStart"/>
      <w:r>
        <w:t xml:space="preserve">на официальном сайте облисполкома в глобальной компьютерной сети Интернет информации о проведении конкурсного отбора в соответствии с </w:t>
      </w:r>
      <w:hyperlink r:id="rId14" w:tooltip="Кодекс Республики Беларусь от 07.12.1998 N 218-З (ред. от 22.04.2024) &quot;Гражданский кодекс Республики Беларусь&quot; {КонсультантПлюс}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4 статьи 927</w:t>
        </w:r>
      </w:hyperlink>
      <w:r>
        <w:t xml:space="preserve"> Гражданского кодекса Республики Беларусь и настоящей Инструкцией.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bookmarkStart w:id="1" w:name="P60"/>
      <w:bookmarkEnd w:id="1"/>
      <w:r>
        <w:t xml:space="preserve">5. Для участия в конкурсном отборе претенденты в соответствии с выбранным видом государственной финансовой поддержки направляют в облисполком документы, предусмотренные </w:t>
      </w:r>
      <w:hyperlink r:id="rId15" w:tooltip="Постановление Совета Министров Республики Беларусь от 28.06.2024 N 459 &quot;О мерах государственной поддержки малого и среднего предпринимательства&quot; {КонсультантПлюс}">
        <w:r>
          <w:rPr>
            <w:color w:val="0000FF"/>
          </w:rPr>
          <w:t>пунктом 9</w:t>
        </w:r>
      </w:hyperlink>
      <w:r>
        <w:t xml:space="preserve">, </w:t>
      </w:r>
      <w:hyperlink r:id="rId16" w:tooltip="Постановление Совета Министров Республики Беларусь от 28.06.2024 N 459 &quot;О мерах государственной поддержки малого и среднего предпринимательства&quot; {КонсультантПлюс}">
        <w:r>
          <w:rPr>
            <w:color w:val="0000FF"/>
          </w:rPr>
          <w:t>частью первой пункта 42</w:t>
        </w:r>
      </w:hyperlink>
      <w:r>
        <w:t xml:space="preserve">, </w:t>
      </w:r>
      <w:hyperlink r:id="rId17" w:tooltip="Постановление Совета Министров Республики Беларусь от 28.06.2024 N 459 &quot;О мерах государственной поддержки малого и среднего предпринимательства&quot; {КонсультантПлюс}">
        <w:r>
          <w:rPr>
            <w:color w:val="0000FF"/>
          </w:rPr>
          <w:t>частью первой пункта 43</w:t>
        </w:r>
      </w:hyperlink>
      <w:r>
        <w:t xml:space="preserve">, </w:t>
      </w:r>
      <w:hyperlink r:id="rId18" w:tooltip="Постановление Совета Министров Республики Беларусь от 28.06.2024 N 459 &quot;О мерах государственной поддержки малого и среднего предпринимательства&quot; {КонсультантПлюс}">
        <w:r>
          <w:rPr>
            <w:color w:val="0000FF"/>
          </w:rPr>
          <w:t>частью первой пункта 44</w:t>
        </w:r>
      </w:hyperlink>
      <w:r>
        <w:t xml:space="preserve"> Положения.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6. При наличии оснований, предусмотренных в </w:t>
      </w:r>
      <w:hyperlink r:id="rId19" w:tooltip="Постановление Совета Министров Республики Беларусь от 28.06.2024 N 459 &quot;О мерах государственной поддержки малого и среднего предпринимательства&quot; {КонсультантПлюс}">
        <w:r>
          <w:rPr>
            <w:color w:val="0000FF"/>
          </w:rPr>
          <w:t>пункте 5</w:t>
        </w:r>
      </w:hyperlink>
      <w:r>
        <w:t xml:space="preserve"> Положения, претендент не допускается к участию в конкурсном отборе, о чем письменно уведомляется облисполкомом в течение 10 рабочих дней со дня представления документов, определенных в </w:t>
      </w:r>
      <w:hyperlink w:anchor="P60" w:tooltip="5. Для участия в конкурсном отборе претенденты в соответствии с выбранным видом государственной финансовой поддержки направляют в облисполком документы, предусмотренные пунктом 9, частью первой пункта 42, частью первой пункта 43, частью первой пункта 44 Положе">
        <w:r>
          <w:rPr>
            <w:color w:val="0000FF"/>
          </w:rPr>
          <w:t>пункте 5</w:t>
        </w:r>
      </w:hyperlink>
      <w:r>
        <w:t xml:space="preserve"> настоящей Инструкции, с указанием причин.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7. На основании представленных претендентами документов осуществляется проверка соответствия их требованиям </w:t>
      </w:r>
      <w:hyperlink r:id="rId20" w:tooltip="Постановление Совета Министров Республики Беларусь от 28.06.2024 N 459 &quot;О мерах государственной поддержки малого и среднего предпринимательства&quot; {КонсультантПлюс}">
        <w:r>
          <w:rPr>
            <w:color w:val="0000FF"/>
          </w:rPr>
          <w:t>Положения</w:t>
        </w:r>
      </w:hyperlink>
      <w:r>
        <w:t xml:space="preserve"> и настоящей Инструкции, проводится конкурсный отбор.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bookmarkStart w:id="2" w:name="P63"/>
      <w:bookmarkEnd w:id="2"/>
      <w:r>
        <w:t>8. Конкурсной комиссией оцениваются проекты путем присвоения соответствующего балла по следующим критериям: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8.1. создание и реализация </w:t>
      </w:r>
      <w:proofErr w:type="spellStart"/>
      <w:r>
        <w:t>экспортоориентированной</w:t>
      </w:r>
      <w:proofErr w:type="spellEnd"/>
      <w:r>
        <w:t xml:space="preserve"> продукции при реализации проекта: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нет - 0 баллов;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да - 1 балл;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8.2. создание и реализация импортозамещающей продукции при реализации проекта: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нет - 0 баллов;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да - 1 балл;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8.3. создание и реализация продукции, направленной на </w:t>
      </w:r>
      <w:proofErr w:type="spellStart"/>
      <w:r>
        <w:t>энерго</w:t>
      </w:r>
      <w:proofErr w:type="spellEnd"/>
      <w:r>
        <w:t>- и ресурсосбережение при реализации проекта: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нет - 0 баллов;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да - 1 балл;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8.4. внедрение новых технологий (инноваций) при реализации проекта: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нет - 0 баллов;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да - 1 балл;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8.5. ожидаемый социальный, экономический и экологический эффект от реализации проекта: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наличие только экономического эффекта - 0 баллов;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наличие только социального и экономического эффекта - 1 балл;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наличие социального, экономического и экологического эффекта - 2 балла;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lastRenderedPageBreak/>
        <w:t>8.6. создание рабочих мест в рамках реализации проекта по результатам оказания государственной финансовой поддержки: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без создания рабочих мест - 0 баллов;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до 5 рабочих мест - 1 балл;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от 5 до 10 рабочих мест - 2 балла;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более 10 рабочих мест - 3 балла;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8.7. проект относится к сфере цифрового развития: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не относится - 0 баллов;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относится - 1 балл;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8.8. проект нацелен на развитие торговли и услуг в сельской местности: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нет - 0 баллов;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да - 1 балл;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8.9. планируемый объем привлечения сре</w:t>
      </w:r>
      <w:proofErr w:type="gramStart"/>
      <w:r>
        <w:t>дств дл</w:t>
      </w:r>
      <w:proofErr w:type="gramEnd"/>
      <w:r>
        <w:t>я реализации проекта из других источников: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от 50 до 75 процентов от размера расходов, связанных с реализацией проекта, - 1 балл;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более 75 процентов от размера расходов, связанных с реализацией проекта, - 2 балла.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9. По итогам рассмотрения всех проектов осуществляется подсчет набранных баллов и составляется протокол, в котором указывается список претендентов в порядке убывания суммы набранных баллов, а также информация о наименовании претендента, названии и направлении проекта, запрашиваемой сумме государственной финансовой поддержки и цели ее предоставления.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объем бюджетных средств больше либо равен сумме средств, необходимых для оказания государственной финансовой поддержки по результатам конкурсного отбора, победителями признаются все претенденты, зафиксированные в протоколе.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При недостаточности объема бюджетных сре</w:t>
      </w:r>
      <w:proofErr w:type="gramStart"/>
      <w:r>
        <w:t>дств дл</w:t>
      </w:r>
      <w:proofErr w:type="gramEnd"/>
      <w:r>
        <w:t>я оказания государственной финансовой поддержки всем претендентам, зафиксированным в протоколе, победителями признаются претенденты, набравшие наибольшую сумму баллов, в том количестве, пока запрашиваемые претендентами средства не превысят объем бюджетных средств.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При наборе равного количества баллов по критериям, указанным в </w:t>
      </w:r>
      <w:hyperlink w:anchor="P63" w:tooltip="8. Конкурсной комиссией оцениваются проекты путем присвоения соответствующего балла по следующим критериям:">
        <w:r>
          <w:rPr>
            <w:color w:val="0000FF"/>
          </w:rPr>
          <w:t>пункте 8</w:t>
        </w:r>
      </w:hyperlink>
      <w:r>
        <w:t xml:space="preserve"> настоящей Инструкции, победитель (победители) определяется большинством голосов членов конкурсной комиссии.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При равенстве голосов голос председателя конкурсной комиссии является определяющим.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после определения победителей объем бюджетных средств распределен не в полной мере, остаток суммы бюджетных средств предлагается претенденту (за исключением победителей) с учетом набранных баллов.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В случае подачи только одной заявки на участие в конкурсном отборе, соответствующей требованиям </w:t>
      </w:r>
      <w:hyperlink r:id="rId21" w:tooltip="Постановление Совета Министров Республики Беларусь от 28.06.2024 N 459 &quot;О мерах государственной поддержки малого и среднего предпринимательства&quot; {КонсультантПлюс}">
        <w:r>
          <w:rPr>
            <w:color w:val="0000FF"/>
          </w:rPr>
          <w:t>Положения</w:t>
        </w:r>
      </w:hyperlink>
      <w:r>
        <w:t xml:space="preserve"> и настоящей Инструкции, решение о предоставлении государственной финансовой поддержки принимается большинством голосов членов конкурсной комиссии.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При равенстве голосов голос председателя конкурсной комиссии является определяющим.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10. Решение о государственной финансовой поддержке или об отказе в такой поддержке принимается облисполкомом в срок не более 15 рабочих дней со дня окончания срока приема заявок.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11. О принятом облисполкомом решении претенденты письменно уведомляются в течение 5 рабочих дней со дня принятия соответствующего решения. При принятии облисполкомом решения </w:t>
      </w:r>
      <w:r>
        <w:lastRenderedPageBreak/>
        <w:t>об отказе в государственной финансовой поддержке в уведомлении указываются основания отказа.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12. В случае принятия решения об оказании государственной финансовой поддержки облисполком заключает договор с субъектом малого или среднего предпринимательства.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13. Конкурсный отбор признается несостоявшимся в случае, если: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в установленный срок его проведения не поступило ни одной заявки;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 xml:space="preserve">все представленные заявки и (или) документы по проектам не соответствуют требованиям </w:t>
      </w:r>
      <w:hyperlink r:id="rId22" w:tooltip="Постановление Совета Министров Республики Беларусь от 28.06.2024 N 459 &quot;О мерах государственной поддержки малого и среднего предпринимательства&quot; {КонсультантПлюс}">
        <w:r>
          <w:rPr>
            <w:color w:val="0000FF"/>
          </w:rPr>
          <w:t>Положения</w:t>
        </w:r>
      </w:hyperlink>
      <w:r>
        <w:t xml:space="preserve"> и настоящей Инструкции.</w:t>
      </w:r>
    </w:p>
    <w:p w:rsidR="00DD5797" w:rsidRDefault="00DD5797" w:rsidP="00DD5797">
      <w:pPr>
        <w:pStyle w:val="ConsPlusNormal"/>
        <w:spacing w:before="200"/>
        <w:ind w:firstLine="540"/>
        <w:jc w:val="both"/>
      </w:pPr>
      <w:r>
        <w:t>14. Претендент может на любом этапе конкурсного отбора отказаться от участия в нем, известив об этом облисполком способом, которым были представлены документы для участия в конкурсном отборе.</w:t>
      </w:r>
    </w:p>
    <w:p w:rsidR="00027B00" w:rsidRDefault="00027B00">
      <w:bookmarkStart w:id="3" w:name="_GoBack"/>
      <w:bookmarkEnd w:id="3"/>
    </w:p>
    <w:sectPr w:rsidR="0002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A3"/>
    <w:rsid w:val="00027B00"/>
    <w:rsid w:val="00C753A3"/>
    <w:rsid w:val="00D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9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7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D57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D57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9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7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D57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D57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B6CABDE1AB60AF880190DA7214A93ACEAFBB1F21F5505C016D0B24EF6818DB98A7E45458299F49DC19A6EE15032A519AFFc3Z7I" TargetMode="External"/><Relationship Id="rId13" Type="http://schemas.openxmlformats.org/officeDocument/2006/relationships/hyperlink" Target="consultantplus://offline/ref=80B6CABDE1AB60AF880190DA7214A93BC3B9D74A72FA545707670724EF6818DB98A7E454583B9F11D018A2F017043F07CBB9665E74A17385151BE6BD8Bc4ZFI" TargetMode="External"/><Relationship Id="rId18" Type="http://schemas.openxmlformats.org/officeDocument/2006/relationships/hyperlink" Target="consultantplus://offline/ref=80B6CABDE1AB60AF880190DA7214A93BC3B9D74A72FA545707670724EF6818DB98A7E454583B9F11D018A2F113003F07CBB9665E74A17385151BE6BD8Bc4Z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0B6CABDE1AB60AF880190DA7214A93BC3B9D74A72FA545707670724EF6818DB98A7E454583B9F11D018A2F017043F07CBB9665E74A17385151BE6BD8Bc4ZFI" TargetMode="External"/><Relationship Id="rId7" Type="http://schemas.openxmlformats.org/officeDocument/2006/relationships/hyperlink" Target="consultantplus://offline/ref=80B6CABDE1AB60AF880190DA7214A93ACEAFBB1F21F55D5B0660052EB262108294A5E35B072C8A588415A3F40A02344D98FD31c5Z7I" TargetMode="External"/><Relationship Id="rId12" Type="http://schemas.openxmlformats.org/officeDocument/2006/relationships/hyperlink" Target="consultantplus://offline/ref=80B6CABDE1AB60AF880190DA7214A93ACEAFBB1F21F55C5907620724EF6818DB98A7E45458299F49DC19A6EE15032A519AFFc3Z7I" TargetMode="External"/><Relationship Id="rId17" Type="http://schemas.openxmlformats.org/officeDocument/2006/relationships/hyperlink" Target="consultantplus://offline/ref=80B6CABDE1AB60AF880190DA7214A93BC3B9D74A72FA545707670724EF6818DB98A7E454583B9F11D018A2F112053F07CBB9665E74A17385151BE6BD8Bc4Z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B6CABDE1AB60AF880190DA7214A93BC3B9D74A72FA545707670724EF6818DB98A7E454583B9F11D018A2F111053F07CBB9665E74A17385151BE6BD8Bc4ZFI" TargetMode="External"/><Relationship Id="rId20" Type="http://schemas.openxmlformats.org/officeDocument/2006/relationships/hyperlink" Target="consultantplus://offline/ref=80B6CABDE1AB60AF880190DA7214A93BC3B9D74A72FA545707670724EF6818DB98A7E454583B9F11D018A2F017043F07CBB9665E74A17385151BE6BD8Bc4Z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B6CABDE1AB60AF880190DA7214A93BC3B9D74A72FA545707670724EF6818DB98A7E454583B9F11D018A2F013013F07CBB9665E74A17385151BE6BD8Bc4ZFI" TargetMode="External"/><Relationship Id="rId11" Type="http://schemas.openxmlformats.org/officeDocument/2006/relationships/hyperlink" Target="consultantplus://offline/ref=80B6CABDE1AB60AF880190DA7214A93ACEAFBB1F21F55D5C0E630128B262108294A5E35B072C8A588415A3F40A02344D98FD31c5Z7I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80B6CABDE1AB60AF880190DA7214A93BC3B9D74A72FA545707670724EF6818DB98A7E454583B9F11D018A2F0100A3F07CBB9665E74A17385151BE6BD8Bc4ZFI" TargetMode="External"/><Relationship Id="rId15" Type="http://schemas.openxmlformats.org/officeDocument/2006/relationships/hyperlink" Target="consultantplus://offline/ref=80B6CABDE1AB60AF880190DA7214A93BC3B9D74A72FA545707670724EF6818DB98A7E454583B9F11D018A2F01C063F07CBB9665E74A17385151BE6BD8Bc4ZF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0B6CABDE1AB60AF880190DA7214A93ACEAFBB1F21F55D5C06650424EF6818DB98A7E45458299F49DC19A6EE15032A519AFFc3Z7I" TargetMode="External"/><Relationship Id="rId19" Type="http://schemas.openxmlformats.org/officeDocument/2006/relationships/hyperlink" Target="consultantplus://offline/ref=80B6CABDE1AB60AF880190DA7214A93BC3B9D74A72FA545707670724EF6818DB98A7E454583B9F11D018A2F011003F07CBB9665E74A17385151BE6BD8Bc4Z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B6CABDE1AB60AF880190DA7214A93ACEAFBB1F21F5525601640424EF6818DB98A7E45458299F49DC19A6EE15032A519AFFc3Z7I" TargetMode="External"/><Relationship Id="rId14" Type="http://schemas.openxmlformats.org/officeDocument/2006/relationships/hyperlink" Target="consultantplus://offline/ref=80B6CABDE1AB60AF880190DA7214A93BC3B9D74A72FA54580F610624EF6818DB98A7E454583B9F11D018A6F211073F07CBB9665E74A17385151BE6BD8Bc4ZFI" TargetMode="External"/><Relationship Id="rId22" Type="http://schemas.openxmlformats.org/officeDocument/2006/relationships/hyperlink" Target="consultantplus://offline/ref=80B6CABDE1AB60AF880190DA7214A93BC3B9D74A72FA545707670724EF6818DB98A7E454583B9F11D018A2F017043F07CBB9665E74A17385151BE6BD8Bc4Z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2843</Words>
  <Characters>16208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Завадская Татьяна</dc:creator>
  <cp:keywords/>
  <dc:description/>
  <cp:lastModifiedBy>Завадская Татьяна</cp:lastModifiedBy>
  <cp:revision>2</cp:revision>
  <dcterms:created xsi:type="dcterms:W3CDTF">2024-10-31T07:28:00Z</dcterms:created>
  <dcterms:modified xsi:type="dcterms:W3CDTF">2024-10-31T07:28:00Z</dcterms:modified>
</cp:coreProperties>
</file>